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E19E" w14:textId="2E7898C3" w:rsidR="000949C5" w:rsidRDefault="003B068F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DESCRIPTOR: ITIS 151</w:t>
      </w:r>
    </w:p>
    <w:p w14:paraId="71952716" w14:textId="77777777" w:rsidR="000949C5" w:rsidRDefault="000949C5">
      <w:pPr>
        <w:ind w:left="0" w:hanging="2"/>
      </w:pP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780"/>
        <w:gridCol w:w="2520"/>
        <w:gridCol w:w="2268"/>
      </w:tblGrid>
      <w:tr w:rsidR="000949C5" w14:paraId="42BB39CA" w14:textId="77777777">
        <w:tc>
          <w:tcPr>
            <w:tcW w:w="4008" w:type="dxa"/>
          </w:tcPr>
          <w:p w14:paraId="02097C25" w14:textId="77777777" w:rsidR="000949C5" w:rsidRDefault="003B068F">
            <w:pPr>
              <w:ind w:left="0" w:hanging="2"/>
            </w:pPr>
            <w:r>
              <w:t>Discipline:  Information Technology/ Information Systems</w:t>
            </w:r>
          </w:p>
        </w:tc>
        <w:tc>
          <w:tcPr>
            <w:tcW w:w="5568" w:type="dxa"/>
            <w:gridSpan w:val="3"/>
          </w:tcPr>
          <w:p w14:paraId="40EC4260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Sub-discipline (if applicable):</w:t>
            </w:r>
          </w:p>
        </w:tc>
      </w:tr>
      <w:tr w:rsidR="000949C5" w14:paraId="4CD6477A" w14:textId="77777777">
        <w:tc>
          <w:tcPr>
            <w:tcW w:w="7308" w:type="dxa"/>
            <w:gridSpan w:val="3"/>
          </w:tcPr>
          <w:p w14:paraId="23A4CDDB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Course Title: </w:t>
            </w:r>
          </w:p>
          <w:p w14:paraId="047A0B60" w14:textId="77777777" w:rsidR="000949C5" w:rsidRDefault="003B068F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Switching, Routing and Wireless Essentials</w:t>
            </w:r>
          </w:p>
        </w:tc>
        <w:tc>
          <w:tcPr>
            <w:tcW w:w="2268" w:type="dxa"/>
          </w:tcPr>
          <w:p w14:paraId="591319EC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Units   3</w:t>
            </w:r>
          </w:p>
        </w:tc>
      </w:tr>
      <w:tr w:rsidR="000949C5" w14:paraId="753EC29D" w14:textId="77777777">
        <w:tc>
          <w:tcPr>
            <w:tcW w:w="9576" w:type="dxa"/>
            <w:gridSpan w:val="4"/>
          </w:tcPr>
          <w:p w14:paraId="5380FDDE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General Course Description:  </w:t>
            </w:r>
            <w:r>
              <w:rPr>
                <w:sz w:val="22"/>
                <w:szCs w:val="22"/>
              </w:rPr>
              <w:br/>
            </w:r>
          </w:p>
          <w:p w14:paraId="169812BB" w14:textId="4E096D6E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second course in the Cisco Certified Networking Associate (CCNA) curriculum focuses on switching technologies and router operations that support small-to-medium business networks and includes </w:t>
            </w:r>
            <w:r w:rsidR="006E00CA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ireless </w:t>
            </w:r>
            <w:r w:rsidR="006E00CA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ocal </w:t>
            </w:r>
            <w:r w:rsidR="006E00C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rea </w:t>
            </w:r>
            <w:r w:rsidR="006E00C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etworks (WLANs) and security concepts. Students learn key switching and routing concepts. Students will perform basic network configuration and troubleshooting, identify and mitigate </w:t>
            </w:r>
            <w:r w:rsidR="006E00CA">
              <w:rPr>
                <w:sz w:val="22"/>
                <w:szCs w:val="22"/>
              </w:rPr>
              <w:t>Local Area Network (</w:t>
            </w:r>
            <w:r>
              <w:rPr>
                <w:sz w:val="22"/>
                <w:szCs w:val="22"/>
              </w:rPr>
              <w:t>LAN</w:t>
            </w:r>
            <w:r w:rsidR="006E00C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security threats, and configure and secure a basic WLAN.</w:t>
            </w:r>
          </w:p>
          <w:p w14:paraId="631344AE" w14:textId="77777777" w:rsidR="000949C5" w:rsidRDefault="000949C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0949C5" w14:paraId="2D81A370" w14:textId="77777777">
        <w:tc>
          <w:tcPr>
            <w:tcW w:w="4008" w:type="dxa"/>
          </w:tcPr>
          <w:p w14:paraId="03BD0776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Number: ITIS 151</w:t>
            </w:r>
          </w:p>
        </w:tc>
        <w:tc>
          <w:tcPr>
            <w:tcW w:w="5568" w:type="dxa"/>
            <w:gridSpan w:val="3"/>
          </w:tcPr>
          <w:p w14:paraId="05D3E840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Suffix:  </w:t>
            </w:r>
          </w:p>
        </w:tc>
      </w:tr>
      <w:tr w:rsidR="000949C5" w14:paraId="64005087" w14:textId="77777777">
        <w:tc>
          <w:tcPr>
            <w:tcW w:w="9576" w:type="dxa"/>
            <w:gridSpan w:val="4"/>
          </w:tcPr>
          <w:p w14:paraId="6167BE67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Prerequisites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</w:rPr>
              <w:t>: None.</w:t>
            </w:r>
          </w:p>
        </w:tc>
      </w:tr>
      <w:tr w:rsidR="000949C5" w14:paraId="538189D6" w14:textId="77777777">
        <w:tc>
          <w:tcPr>
            <w:tcW w:w="9576" w:type="dxa"/>
            <w:gridSpan w:val="4"/>
          </w:tcPr>
          <w:p w14:paraId="7B1E4672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Co-Requisites: None.</w:t>
            </w:r>
          </w:p>
        </w:tc>
      </w:tr>
      <w:tr w:rsidR="000949C5" w14:paraId="62B83640" w14:textId="77777777">
        <w:tc>
          <w:tcPr>
            <w:tcW w:w="9576" w:type="dxa"/>
            <w:gridSpan w:val="4"/>
          </w:tcPr>
          <w:p w14:paraId="2B91AB7D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Advisories/Recommended Preparation</w:t>
            </w:r>
            <w:r>
              <w:rPr>
                <w:sz w:val="22"/>
                <w:szCs w:val="22"/>
                <w:vertAlign w:val="superscript"/>
              </w:rPr>
              <w:footnoteReference w:id="2"/>
            </w:r>
            <w:r>
              <w:rPr>
                <w:sz w:val="22"/>
                <w:szCs w:val="22"/>
              </w:rPr>
              <w:t xml:space="preserve">: </w:t>
            </w:r>
          </w:p>
          <w:p w14:paraId="0E6C9E99" w14:textId="77777777" w:rsidR="000949C5" w:rsidRDefault="000949C5">
            <w:pPr>
              <w:ind w:left="0" w:hanging="2"/>
              <w:rPr>
                <w:sz w:val="22"/>
                <w:szCs w:val="22"/>
              </w:rPr>
            </w:pPr>
          </w:p>
          <w:p w14:paraId="780D124B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ITIS 150 - Computer Network Fundamentals</w:t>
            </w:r>
          </w:p>
          <w:p w14:paraId="2883C8B9" w14:textId="77777777" w:rsidR="000949C5" w:rsidRDefault="000949C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0949C5" w14:paraId="5FA44B00" w14:textId="77777777">
        <w:tc>
          <w:tcPr>
            <w:tcW w:w="9576" w:type="dxa"/>
            <w:gridSpan w:val="4"/>
          </w:tcPr>
          <w:p w14:paraId="5006154F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Content:  </w:t>
            </w:r>
          </w:p>
          <w:p w14:paraId="146C4C4C" w14:textId="77777777" w:rsidR="000949C5" w:rsidRDefault="000949C5">
            <w:pPr>
              <w:ind w:left="0" w:hanging="2"/>
              <w:rPr>
                <w:sz w:val="22"/>
                <w:szCs w:val="22"/>
              </w:rPr>
            </w:pPr>
          </w:p>
          <w:p w14:paraId="19B7B5DC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Basic Device Configuration</w:t>
            </w:r>
          </w:p>
          <w:p w14:paraId="37C87FE1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Switching Concepts</w:t>
            </w:r>
          </w:p>
          <w:p w14:paraId="21DEB51B" w14:textId="478FA6F9" w:rsidR="000949C5" w:rsidRDefault="006E00CA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Virtual Local Area Networks (</w:t>
            </w:r>
            <w:r w:rsidR="003B068F">
              <w:rPr>
                <w:sz w:val="22"/>
                <w:szCs w:val="22"/>
              </w:rPr>
              <w:t>VLANs</w:t>
            </w:r>
            <w:r>
              <w:rPr>
                <w:sz w:val="22"/>
                <w:szCs w:val="22"/>
              </w:rPr>
              <w:t>)</w:t>
            </w:r>
          </w:p>
          <w:p w14:paraId="77D68287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Inter-VLAN Routing</w:t>
            </w:r>
          </w:p>
          <w:p w14:paraId="7B5A7E4F" w14:textId="74CB774A" w:rsidR="000949C5" w:rsidRDefault="006E00CA">
            <w:pPr>
              <w:numPr>
                <w:ilvl w:val="0"/>
                <w:numId w:val="2"/>
              </w:numPr>
              <w:ind w:left="0" w:hanging="2"/>
            </w:pPr>
            <w:r w:rsidRPr="006E00CA">
              <w:rPr>
                <w:sz w:val="22"/>
                <w:szCs w:val="22"/>
              </w:rPr>
              <w:t xml:space="preserve">Spanning Tree Protocol </w:t>
            </w:r>
            <w:r>
              <w:rPr>
                <w:sz w:val="22"/>
                <w:szCs w:val="22"/>
              </w:rPr>
              <w:t>(</w:t>
            </w:r>
            <w:r w:rsidR="003B068F">
              <w:rPr>
                <w:sz w:val="22"/>
                <w:szCs w:val="22"/>
              </w:rPr>
              <w:t>STP</w:t>
            </w:r>
            <w:r>
              <w:rPr>
                <w:sz w:val="22"/>
                <w:szCs w:val="22"/>
              </w:rPr>
              <w:t>)</w:t>
            </w:r>
          </w:p>
          <w:p w14:paraId="59AC93E9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EtherChannel</w:t>
            </w:r>
          </w:p>
          <w:p w14:paraId="4CB32B2F" w14:textId="36529C7A" w:rsidR="000949C5" w:rsidRDefault="006E00CA">
            <w:pPr>
              <w:numPr>
                <w:ilvl w:val="0"/>
                <w:numId w:val="2"/>
              </w:numPr>
              <w:ind w:left="0" w:hanging="2"/>
            </w:pPr>
            <w:r w:rsidRPr="006E00CA">
              <w:rPr>
                <w:sz w:val="22"/>
                <w:szCs w:val="22"/>
              </w:rPr>
              <w:t xml:space="preserve">Dynamic Host Configuration Protocol </w:t>
            </w:r>
            <w:r>
              <w:rPr>
                <w:sz w:val="22"/>
                <w:szCs w:val="22"/>
              </w:rPr>
              <w:t>version 4 (</w:t>
            </w:r>
            <w:r w:rsidR="003B068F">
              <w:rPr>
                <w:sz w:val="22"/>
                <w:szCs w:val="22"/>
              </w:rPr>
              <w:t>DHCPv4</w:t>
            </w:r>
            <w:r>
              <w:rPr>
                <w:sz w:val="22"/>
                <w:szCs w:val="22"/>
              </w:rPr>
              <w:t>)</w:t>
            </w:r>
          </w:p>
          <w:p w14:paraId="108C863D" w14:textId="729E81F1" w:rsidR="000949C5" w:rsidRDefault="006E00CA">
            <w:pPr>
              <w:numPr>
                <w:ilvl w:val="0"/>
                <w:numId w:val="2"/>
              </w:numPr>
              <w:ind w:left="0" w:hanging="2"/>
            </w:pPr>
            <w:r w:rsidRPr="006E00CA">
              <w:rPr>
                <w:sz w:val="22"/>
                <w:szCs w:val="22"/>
              </w:rPr>
              <w:t xml:space="preserve">StateLess Address Auto Configuration </w:t>
            </w:r>
            <w:r>
              <w:rPr>
                <w:sz w:val="22"/>
                <w:szCs w:val="22"/>
              </w:rPr>
              <w:t>(</w:t>
            </w:r>
            <w:r w:rsidR="003B068F">
              <w:rPr>
                <w:sz w:val="22"/>
                <w:szCs w:val="22"/>
              </w:rPr>
              <w:t>SLAAC</w:t>
            </w:r>
            <w:r>
              <w:rPr>
                <w:sz w:val="22"/>
                <w:szCs w:val="22"/>
              </w:rPr>
              <w:t>)</w:t>
            </w:r>
            <w:r w:rsidR="003B068F">
              <w:rPr>
                <w:sz w:val="22"/>
                <w:szCs w:val="22"/>
              </w:rPr>
              <w:t xml:space="preserve"> and DHCPv6 Concepts</w:t>
            </w:r>
          </w:p>
          <w:p w14:paraId="7A0695AB" w14:textId="5020CB57" w:rsidR="000949C5" w:rsidRDefault="006E00CA">
            <w:pPr>
              <w:numPr>
                <w:ilvl w:val="0"/>
                <w:numId w:val="2"/>
              </w:numPr>
              <w:ind w:left="0" w:hanging="2"/>
            </w:pPr>
            <w:r w:rsidRPr="006E00CA">
              <w:rPr>
                <w:sz w:val="22"/>
                <w:szCs w:val="22"/>
              </w:rPr>
              <w:t>First Hop Redundancy Protocol (FHRP)</w:t>
            </w:r>
            <w:r w:rsidR="003B068F">
              <w:rPr>
                <w:sz w:val="22"/>
                <w:szCs w:val="22"/>
              </w:rPr>
              <w:t xml:space="preserve"> Concepts</w:t>
            </w:r>
          </w:p>
          <w:p w14:paraId="69A8B435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LAN Security Concepts</w:t>
            </w:r>
          </w:p>
          <w:p w14:paraId="08165576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Switch Security Configuration</w:t>
            </w:r>
          </w:p>
          <w:p w14:paraId="5BD93B2D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WLAN Concepts</w:t>
            </w:r>
          </w:p>
          <w:p w14:paraId="37C006BD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WLAN Configuration</w:t>
            </w:r>
          </w:p>
          <w:p w14:paraId="5CCF4EE2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Routing Concepts</w:t>
            </w:r>
          </w:p>
          <w:p w14:paraId="18122638" w14:textId="6709A205" w:rsidR="000949C5" w:rsidRDefault="006E00CA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Internet Protocol (</w:t>
            </w:r>
            <w:r w:rsidR="003B068F">
              <w:rPr>
                <w:sz w:val="22"/>
                <w:szCs w:val="22"/>
              </w:rPr>
              <w:t>IP</w:t>
            </w:r>
            <w:r>
              <w:rPr>
                <w:sz w:val="22"/>
                <w:szCs w:val="22"/>
              </w:rPr>
              <w:t>)</w:t>
            </w:r>
            <w:r w:rsidR="003B068F">
              <w:rPr>
                <w:sz w:val="22"/>
                <w:szCs w:val="22"/>
              </w:rPr>
              <w:t xml:space="preserve"> Static Routing</w:t>
            </w:r>
          </w:p>
          <w:p w14:paraId="0B50FE53" w14:textId="77777777" w:rsidR="000949C5" w:rsidRDefault="003B068F">
            <w:pPr>
              <w:numPr>
                <w:ilvl w:val="0"/>
                <w:numId w:val="2"/>
              </w:numPr>
              <w:ind w:left="0" w:hanging="2"/>
            </w:pPr>
            <w:r>
              <w:rPr>
                <w:sz w:val="22"/>
                <w:szCs w:val="22"/>
              </w:rPr>
              <w:t>Troubleshoot Static and Default Routes</w:t>
            </w:r>
          </w:p>
          <w:p w14:paraId="57862837" w14:textId="77777777" w:rsidR="000949C5" w:rsidRDefault="000949C5">
            <w:pPr>
              <w:ind w:left="0" w:hanging="2"/>
              <w:rPr>
                <w:sz w:val="22"/>
                <w:szCs w:val="22"/>
              </w:rPr>
            </w:pPr>
          </w:p>
          <w:p w14:paraId="3D3970AC" w14:textId="779984BC" w:rsidR="006E00CA" w:rsidRDefault="006E00C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0949C5" w14:paraId="3B1C8841" w14:textId="77777777">
        <w:tc>
          <w:tcPr>
            <w:tcW w:w="9576" w:type="dxa"/>
            <w:gridSpan w:val="4"/>
          </w:tcPr>
          <w:p w14:paraId="3CDE3B02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Course Objectives:  </w:t>
            </w:r>
            <w:r>
              <w:rPr>
                <w:i/>
                <w:sz w:val="22"/>
                <w:szCs w:val="22"/>
              </w:rPr>
              <w:t>At the conclusion of this course, the student should be able to:</w:t>
            </w:r>
          </w:p>
          <w:p w14:paraId="348A86CE" w14:textId="77777777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spacing w:before="280"/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>Configure VLANs and Inter-VLAN routing applying security best practices.</w:t>
            </w:r>
          </w:p>
          <w:p w14:paraId="416266D3" w14:textId="77777777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>Troubleshoot inter-VLAN routing on Layer 3 devices.</w:t>
            </w:r>
          </w:p>
          <w:p w14:paraId="770F8C42" w14:textId="77777777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>Configure redundancy on a switched network using STP and EtherChannel.</w:t>
            </w:r>
          </w:p>
          <w:p w14:paraId="2A84B77D" w14:textId="77777777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>Troubleshoot EtherChannel on switched networks.</w:t>
            </w:r>
          </w:p>
          <w:p w14:paraId="40800576" w14:textId="77777777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>Explain how to support available and reliable networks using dynamic addressing and first-hop redundancy protocols.</w:t>
            </w:r>
          </w:p>
          <w:p w14:paraId="0A5E4B8C" w14:textId="5C0E4938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Configure dynamic address allocation in </w:t>
            </w:r>
            <w:r w:rsidR="006E00CA">
              <w:rPr>
                <w:sz w:val="22"/>
                <w:szCs w:val="22"/>
              </w:rPr>
              <w:t>Internet Protocol version 6 (</w:t>
            </w:r>
            <w:r>
              <w:rPr>
                <w:sz w:val="22"/>
                <w:szCs w:val="22"/>
              </w:rPr>
              <w:t>IPv6</w:t>
            </w:r>
            <w:r w:rsidR="006E00C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networks.</w:t>
            </w:r>
          </w:p>
          <w:p w14:paraId="5E84FEDE" w14:textId="1D638246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Configure WLANs using a </w:t>
            </w:r>
            <w:r w:rsidR="006E00CA" w:rsidRPr="006E00CA">
              <w:rPr>
                <w:sz w:val="22"/>
                <w:szCs w:val="22"/>
              </w:rPr>
              <w:t xml:space="preserve">Wireless Controller </w:t>
            </w:r>
            <w:r w:rsidR="006E00C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WLC</w:t>
            </w:r>
            <w:r w:rsidR="006E00C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and </w:t>
            </w:r>
            <w:r w:rsidR="006E00CA">
              <w:rPr>
                <w:sz w:val="22"/>
                <w:szCs w:val="22"/>
              </w:rPr>
              <w:t>Layer 2 (</w:t>
            </w:r>
            <w:r>
              <w:rPr>
                <w:sz w:val="22"/>
                <w:szCs w:val="22"/>
              </w:rPr>
              <w:t>L2</w:t>
            </w:r>
            <w:r w:rsidR="006E00C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security best practices.</w:t>
            </w:r>
          </w:p>
          <w:p w14:paraId="2F326FA7" w14:textId="77777777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>Configure switch security to mitigate LAN attacks.</w:t>
            </w:r>
          </w:p>
          <w:p w14:paraId="3CF22DD0" w14:textId="77777777" w:rsidR="000949C5" w:rsidRDefault="003B068F" w:rsidP="006E00C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00"/>
              </w:tabs>
              <w:ind w:leftChars="-16" w:left="780" w:hangingChars="369" w:hanging="812"/>
              <w:rPr>
                <w:rFonts w:ascii="Arial" w:eastAsia="Arial" w:hAnsi="Arial" w:cs="Arial"/>
                <w:color w:val="58585B"/>
                <w:sz w:val="21"/>
                <w:szCs w:val="21"/>
              </w:rPr>
            </w:pPr>
            <w:r>
              <w:rPr>
                <w:sz w:val="22"/>
                <w:szCs w:val="22"/>
              </w:rPr>
              <w:t>Configure IPv4 and IPv6 static routing on routers.</w:t>
            </w:r>
          </w:p>
          <w:p w14:paraId="31D45DBA" w14:textId="77777777" w:rsidR="000949C5" w:rsidRDefault="00094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0949C5" w14:paraId="620C2EEA" w14:textId="77777777">
        <w:tc>
          <w:tcPr>
            <w:tcW w:w="9576" w:type="dxa"/>
            <w:gridSpan w:val="4"/>
          </w:tcPr>
          <w:p w14:paraId="50A3FDBA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Evaluation:</w:t>
            </w:r>
          </w:p>
          <w:p w14:paraId="3E49B9CA" w14:textId="77777777" w:rsidR="000949C5" w:rsidRDefault="000949C5">
            <w:pPr>
              <w:ind w:left="0" w:hanging="2"/>
              <w:rPr>
                <w:sz w:val="22"/>
                <w:szCs w:val="22"/>
              </w:rPr>
            </w:pPr>
          </w:p>
          <w:p w14:paraId="2D693F78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will include hands-on projects and a combination of examinations, presentations, discussions, or problem-solving assignments.</w:t>
            </w:r>
          </w:p>
          <w:p w14:paraId="39B4A434" w14:textId="77777777" w:rsidR="000949C5" w:rsidRDefault="000949C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0949C5" w14:paraId="1A1B9162" w14:textId="77777777">
        <w:tc>
          <w:tcPr>
            <w:tcW w:w="9576" w:type="dxa"/>
            <w:gridSpan w:val="4"/>
          </w:tcPr>
          <w:p w14:paraId="0870A08D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Textbooks, Manuals, or Other Support Materials (do not include editions or publication dates):</w:t>
            </w:r>
          </w:p>
          <w:p w14:paraId="63CBF705" w14:textId="77777777" w:rsidR="000949C5" w:rsidRDefault="000949C5">
            <w:pPr>
              <w:ind w:left="0" w:hanging="2"/>
              <w:rPr>
                <w:sz w:val="22"/>
                <w:szCs w:val="22"/>
              </w:rPr>
            </w:pPr>
          </w:p>
          <w:p w14:paraId="22D064B1" w14:textId="7AF42A4E" w:rsidR="000949C5" w:rsidRPr="006E00CA" w:rsidRDefault="003B068F" w:rsidP="006E00CA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ind w:leftChars="0" w:firstLineChars="0"/>
              <w:rPr>
                <w:sz w:val="22"/>
                <w:szCs w:val="22"/>
              </w:rPr>
            </w:pPr>
            <w:r w:rsidRPr="006E00CA">
              <w:rPr>
                <w:sz w:val="22"/>
                <w:szCs w:val="22"/>
              </w:rPr>
              <w:t>Cisco Academy Program</w:t>
            </w:r>
            <w:r w:rsidR="006E00CA">
              <w:rPr>
                <w:sz w:val="22"/>
                <w:szCs w:val="22"/>
              </w:rPr>
              <w:t>,</w:t>
            </w:r>
            <w:r w:rsidRPr="006E00CA">
              <w:rPr>
                <w:sz w:val="22"/>
                <w:szCs w:val="22"/>
              </w:rPr>
              <w:t xml:space="preserve"> </w:t>
            </w:r>
            <w:r w:rsidRPr="006E00CA">
              <w:rPr>
                <w:i/>
                <w:iCs/>
                <w:sz w:val="22"/>
                <w:szCs w:val="22"/>
              </w:rPr>
              <w:t>Switching, Routing and Wireless Essentials CCNA Academy Companion Guide Version 7</w:t>
            </w:r>
            <w:r w:rsidRPr="006E00CA">
              <w:rPr>
                <w:sz w:val="22"/>
                <w:szCs w:val="22"/>
              </w:rPr>
              <w:t>, Cisco Press</w:t>
            </w:r>
          </w:p>
          <w:p w14:paraId="2FB3A707" w14:textId="77777777" w:rsidR="000949C5" w:rsidRDefault="000949C5">
            <w:pPr>
              <w:tabs>
                <w:tab w:val="left" w:pos="900"/>
              </w:tabs>
              <w:ind w:left="0" w:hanging="2"/>
              <w:rPr>
                <w:sz w:val="22"/>
                <w:szCs w:val="22"/>
              </w:rPr>
            </w:pPr>
          </w:p>
        </w:tc>
      </w:tr>
      <w:tr w:rsidR="000949C5" w14:paraId="11ED0CD3" w14:textId="77777777">
        <w:tc>
          <w:tcPr>
            <w:tcW w:w="9576" w:type="dxa"/>
            <w:gridSpan w:val="4"/>
            <w:tcBorders>
              <w:bottom w:val="single" w:sz="4" w:space="0" w:color="000000"/>
            </w:tcBorders>
          </w:tcPr>
          <w:p w14:paraId="2EA52E46" w14:textId="5F3AD46C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FDRG Lead Signature:            Markus Geissler, PhD                    Date:  </w:t>
            </w:r>
            <w:r w:rsidR="006E00CA">
              <w:rPr>
                <w:sz w:val="22"/>
                <w:szCs w:val="22"/>
              </w:rPr>
              <w:t>20Jan</w:t>
            </w:r>
            <w:r>
              <w:rPr>
                <w:sz w:val="22"/>
                <w:szCs w:val="22"/>
              </w:rPr>
              <w:t>202</w:t>
            </w:r>
            <w:r w:rsidR="006E00CA">
              <w:rPr>
                <w:sz w:val="22"/>
                <w:szCs w:val="22"/>
              </w:rPr>
              <w:t>1</w:t>
            </w:r>
          </w:p>
        </w:tc>
      </w:tr>
      <w:tr w:rsidR="000949C5" w14:paraId="7A4184BA" w14:textId="77777777">
        <w:tc>
          <w:tcPr>
            <w:tcW w:w="4788" w:type="dxa"/>
            <w:gridSpan w:val="2"/>
            <w:shd w:val="clear" w:color="auto" w:fill="E0E0E0"/>
          </w:tcPr>
          <w:p w14:paraId="4E11A283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[For Office Use Only]                                                             </w:t>
            </w:r>
          </w:p>
        </w:tc>
        <w:tc>
          <w:tcPr>
            <w:tcW w:w="4788" w:type="dxa"/>
            <w:gridSpan w:val="2"/>
            <w:shd w:val="clear" w:color="auto" w:fill="E0E0E0"/>
          </w:tcPr>
          <w:p w14:paraId="15946DB5" w14:textId="77777777" w:rsidR="000949C5" w:rsidRDefault="003B068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Internal Tracking Number</w:t>
            </w:r>
          </w:p>
        </w:tc>
      </w:tr>
      <w:tr w:rsidR="000949C5" w14:paraId="63105885" w14:textId="77777777">
        <w:tc>
          <w:tcPr>
            <w:tcW w:w="9576" w:type="dxa"/>
            <w:gridSpan w:val="4"/>
            <w:shd w:val="clear" w:color="auto" w:fill="E0E0E0"/>
          </w:tcPr>
          <w:p w14:paraId="3E8DDAD1" w14:textId="77777777" w:rsidR="000949C5" w:rsidRDefault="000949C5">
            <w:pPr>
              <w:ind w:left="0" w:hanging="2"/>
            </w:pPr>
          </w:p>
        </w:tc>
      </w:tr>
      <w:tr w:rsidR="000949C5" w14:paraId="54E2EB6B" w14:textId="77777777">
        <w:tc>
          <w:tcPr>
            <w:tcW w:w="9576" w:type="dxa"/>
            <w:gridSpan w:val="4"/>
            <w:shd w:val="clear" w:color="auto" w:fill="E0E0E0"/>
          </w:tcPr>
          <w:p w14:paraId="0520C2EF" w14:textId="77777777" w:rsidR="000949C5" w:rsidRDefault="000949C5">
            <w:pPr>
              <w:ind w:left="0" w:hanging="2"/>
            </w:pPr>
          </w:p>
        </w:tc>
      </w:tr>
    </w:tbl>
    <w:p w14:paraId="206E423D" w14:textId="77777777" w:rsidR="000949C5" w:rsidRDefault="003B068F">
      <w:pPr>
        <w:ind w:left="0" w:hanging="2"/>
        <w:rPr>
          <w:sz w:val="18"/>
          <w:szCs w:val="18"/>
        </w:rPr>
      </w:pPr>
      <w:r>
        <w:rPr>
          <w:sz w:val="16"/>
          <w:szCs w:val="16"/>
        </w:rPr>
        <w:t xml:space="preserve"> </w:t>
      </w:r>
    </w:p>
    <w:p w14:paraId="40EFD3E2" w14:textId="77777777" w:rsidR="000949C5" w:rsidRDefault="000949C5">
      <w:pPr>
        <w:ind w:left="0" w:hanging="2"/>
        <w:rPr>
          <w:sz w:val="18"/>
          <w:szCs w:val="18"/>
        </w:rPr>
      </w:pPr>
    </w:p>
    <w:sectPr w:rsidR="00094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08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CF08" w14:textId="77777777" w:rsidR="00386980" w:rsidRDefault="00386980">
      <w:pPr>
        <w:spacing w:line="240" w:lineRule="auto"/>
        <w:ind w:left="0" w:hanging="2"/>
      </w:pPr>
      <w:r>
        <w:separator/>
      </w:r>
    </w:p>
  </w:endnote>
  <w:endnote w:type="continuationSeparator" w:id="0">
    <w:p w14:paraId="483AEC5F" w14:textId="77777777" w:rsidR="00386980" w:rsidRDefault="003869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A364" w14:textId="77777777" w:rsidR="000949C5" w:rsidRDefault="000949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E78B" w14:textId="77777777" w:rsidR="000949C5" w:rsidRDefault="000949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FCF5" w14:textId="77777777" w:rsidR="000949C5" w:rsidRDefault="000949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1ECFB" w14:textId="77777777" w:rsidR="00386980" w:rsidRDefault="00386980">
      <w:pPr>
        <w:spacing w:line="240" w:lineRule="auto"/>
        <w:ind w:left="0" w:hanging="2"/>
      </w:pPr>
      <w:r>
        <w:separator/>
      </w:r>
    </w:p>
  </w:footnote>
  <w:footnote w:type="continuationSeparator" w:id="0">
    <w:p w14:paraId="2F51CDBE" w14:textId="77777777" w:rsidR="00386980" w:rsidRDefault="00386980">
      <w:pPr>
        <w:spacing w:line="240" w:lineRule="auto"/>
        <w:ind w:left="0" w:hanging="2"/>
      </w:pPr>
      <w:r>
        <w:continuationSeparator/>
      </w:r>
    </w:p>
  </w:footnote>
  <w:footnote w:id="1">
    <w:p w14:paraId="7D7F42EF" w14:textId="77777777" w:rsidR="000949C5" w:rsidRDefault="003B0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1637D91E" w14:textId="77777777" w:rsidR="000949C5" w:rsidRDefault="003B0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  <w:p w14:paraId="779104F9" w14:textId="77777777" w:rsidR="000949C5" w:rsidRDefault="00094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D96A" w14:textId="77777777" w:rsidR="000949C5" w:rsidRDefault="000949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6E7CC" w14:textId="77777777" w:rsidR="000949C5" w:rsidRDefault="003B06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  <w:r>
      <w:rPr>
        <w:noProof/>
        <w:color w:val="000000"/>
        <w:szCs w:val="20"/>
      </w:rPr>
      <w:drawing>
        <wp:inline distT="0" distB="0" distL="114300" distR="114300" wp14:anchorId="09C23C0F" wp14:editId="7B86CD4F">
          <wp:extent cx="1841500" cy="70675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D3CD" w14:textId="77777777" w:rsidR="000949C5" w:rsidRDefault="000949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C4D54"/>
    <w:multiLevelType w:val="multilevel"/>
    <w:tmpl w:val="B8869D1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6406134"/>
    <w:multiLevelType w:val="hybridMultilevel"/>
    <w:tmpl w:val="B9EE75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72126E9"/>
    <w:multiLevelType w:val="multilevel"/>
    <w:tmpl w:val="CD908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F384AE9"/>
    <w:multiLevelType w:val="multilevel"/>
    <w:tmpl w:val="FD0EA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52637828">
    <w:abstractNumId w:val="3"/>
  </w:num>
  <w:num w:numId="2" w16cid:durableId="2051488213">
    <w:abstractNumId w:val="0"/>
  </w:num>
  <w:num w:numId="3" w16cid:durableId="13658299">
    <w:abstractNumId w:val="2"/>
  </w:num>
  <w:num w:numId="4" w16cid:durableId="181155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C5"/>
    <w:rsid w:val="000949C5"/>
    <w:rsid w:val="00386980"/>
    <w:rsid w:val="003B068F"/>
    <w:rsid w:val="0066681A"/>
    <w:rsid w:val="006E00CA"/>
    <w:rsid w:val="009150A1"/>
    <w:rsid w:val="00C43FA4"/>
    <w:rsid w:val="00DF3773"/>
    <w:rsid w:val="00F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19BB"/>
  <w15:docId w15:val="{9297679A-3D48-4EEE-AD11-DC1482E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Pr>
      <w:szCs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E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JU2ubH1htwz+tFlXcld4qs9uQ==">AMUW2mUzaOD3PA/VzV0qym6hLUC+oK8Nqpi8xlb1qthI6Wv2CJISvnEevCcj4ZTIaVXfk1M5IYRd7N4mfYHsHfKHY/sCCIb4Gzr8/HrrWc2xxyw4kYtjrSA=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Miguel Rother</cp:lastModifiedBy>
  <cp:revision>3</cp:revision>
  <dcterms:created xsi:type="dcterms:W3CDTF">2021-05-06T19:08:00Z</dcterms:created>
  <dcterms:modified xsi:type="dcterms:W3CDTF">2025-02-26T19:09:00Z</dcterms:modified>
</cp:coreProperties>
</file>