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21DEB" w14:textId="77777777" w:rsidR="00C979EB" w:rsidRPr="00B76F87" w:rsidRDefault="00C979EB" w:rsidP="00C979EB">
      <w:pPr>
        <w:jc w:val="center"/>
        <w:rPr>
          <w:b/>
          <w:szCs w:val="20"/>
        </w:rPr>
      </w:pPr>
      <w:r w:rsidRPr="00B76F87">
        <w:rPr>
          <w:b/>
          <w:szCs w:val="20"/>
        </w:rPr>
        <w:t>DESCRIPTOR</w:t>
      </w:r>
    </w:p>
    <w:p w14:paraId="1CF26B75" w14:textId="77777777" w:rsidR="00C979EB" w:rsidRPr="001E1863" w:rsidRDefault="00C979EB" w:rsidP="00C979EB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0"/>
        <w:gridCol w:w="756"/>
        <w:gridCol w:w="1133"/>
        <w:gridCol w:w="351"/>
        <w:gridCol w:w="3190"/>
      </w:tblGrid>
      <w:tr w:rsidR="00C979EB" w:rsidRPr="001E1863" w14:paraId="07E2F022" w14:textId="77777777">
        <w:tc>
          <w:tcPr>
            <w:tcW w:w="5958" w:type="dxa"/>
            <w:gridSpan w:val="3"/>
          </w:tcPr>
          <w:p w14:paraId="1B112BFE" w14:textId="77777777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Discipline:  Film, Television and Electronic Media (FTVE)</w:t>
            </w:r>
          </w:p>
        </w:tc>
        <w:tc>
          <w:tcPr>
            <w:tcW w:w="3618" w:type="dxa"/>
            <w:gridSpan w:val="2"/>
          </w:tcPr>
          <w:p w14:paraId="7CD1637F" w14:textId="77777777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Sub-discipline:</w:t>
            </w:r>
          </w:p>
        </w:tc>
      </w:tr>
      <w:tr w:rsidR="00C979EB" w:rsidRPr="001E1863" w14:paraId="19112E8B" w14:textId="77777777">
        <w:tc>
          <w:tcPr>
            <w:tcW w:w="6318" w:type="dxa"/>
            <w:gridSpan w:val="4"/>
          </w:tcPr>
          <w:p w14:paraId="2822F888" w14:textId="77777777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General Course Title: </w:t>
            </w:r>
          </w:p>
          <w:p w14:paraId="60A54B60" w14:textId="77777777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Beginning Audio Production</w:t>
            </w:r>
          </w:p>
        </w:tc>
        <w:tc>
          <w:tcPr>
            <w:tcW w:w="3258" w:type="dxa"/>
          </w:tcPr>
          <w:p w14:paraId="40499723" w14:textId="77777777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Min. Units: 3</w:t>
            </w:r>
          </w:p>
          <w:p w14:paraId="6237FDD1" w14:textId="77777777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979EB" w:rsidRPr="001E1863" w14:paraId="67D3892E" w14:textId="77777777">
        <w:tc>
          <w:tcPr>
            <w:tcW w:w="9576" w:type="dxa"/>
            <w:gridSpan w:val="5"/>
          </w:tcPr>
          <w:p w14:paraId="43334863" w14:textId="77777777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General Course Description:  </w:t>
            </w:r>
          </w:p>
          <w:p w14:paraId="1F03C4FA" w14:textId="5B743981" w:rsidR="00C979EB" w:rsidRPr="00DF1B37" w:rsidRDefault="00C979EB" w:rsidP="00DA502C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This course serves as an introduction to the theory and practice of audio production for </w:t>
            </w:r>
            <w:r w:rsidR="00DA502C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broadcasting</w:t>
            </w: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DA502C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internet,</w:t>
            </w: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film</w:t>
            </w:r>
            <w:r w:rsidR="00DA502C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</w:t>
            </w:r>
            <w:r w:rsidR="00DA502C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music </w:t>
            </w: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recording applications. Students will learn the fundamentals of sound design and aesthetics, microphone use, and digital recording equipment. Students gain hands on experience recording, editing, </w:t>
            </w:r>
            <w:r w:rsidR="00850D41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</w:t>
            </w: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mixing audio</w:t>
            </w:r>
            <w:r w:rsidR="00850D41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 various applications</w:t>
            </w: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.  Upon completion, students will have basic knowledge of applied audio concepts, production workflow, equipment functions, and audio editing software.</w:t>
            </w:r>
          </w:p>
          <w:p w14:paraId="216CD928" w14:textId="56CA03E1" w:rsidR="00EA31E3" w:rsidRPr="00DF1B37" w:rsidRDefault="00EA31E3" w:rsidP="00DA502C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979EB" w:rsidRPr="001E1863" w14:paraId="5D138485" w14:textId="77777777">
        <w:tc>
          <w:tcPr>
            <w:tcW w:w="4008" w:type="dxa"/>
          </w:tcPr>
          <w:p w14:paraId="394285A6" w14:textId="77777777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Number: 120</w:t>
            </w:r>
          </w:p>
        </w:tc>
        <w:tc>
          <w:tcPr>
            <w:tcW w:w="5568" w:type="dxa"/>
            <w:gridSpan w:val="4"/>
          </w:tcPr>
          <w:p w14:paraId="480E0646" w14:textId="77777777" w:rsidR="00C979EB" w:rsidRPr="00DF1B37" w:rsidRDefault="00C979EB" w:rsidP="00C979EB">
            <w:p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Suffix:  </w:t>
            </w:r>
          </w:p>
        </w:tc>
      </w:tr>
      <w:tr w:rsidR="00C979EB" w:rsidRPr="001E1863" w14:paraId="4C46FE24" w14:textId="77777777">
        <w:tc>
          <w:tcPr>
            <w:tcW w:w="9576" w:type="dxa"/>
            <w:gridSpan w:val="5"/>
          </w:tcPr>
          <w:p w14:paraId="50CFBB08" w14:textId="77777777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Any rationale or comment:</w:t>
            </w:r>
          </w:p>
        </w:tc>
      </w:tr>
      <w:tr w:rsidR="00C979EB" w:rsidRPr="001E1863" w14:paraId="78BA7556" w14:textId="77777777">
        <w:tc>
          <w:tcPr>
            <w:tcW w:w="9576" w:type="dxa"/>
            <w:gridSpan w:val="5"/>
          </w:tcPr>
          <w:p w14:paraId="5A909BEB" w14:textId="77777777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Required Prerequisites:  None</w:t>
            </w:r>
          </w:p>
        </w:tc>
      </w:tr>
      <w:tr w:rsidR="00C979EB" w:rsidRPr="001E1863" w14:paraId="090C9A71" w14:textId="77777777">
        <w:tc>
          <w:tcPr>
            <w:tcW w:w="9576" w:type="dxa"/>
            <w:gridSpan w:val="5"/>
          </w:tcPr>
          <w:p w14:paraId="243464D2" w14:textId="77777777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Required Co-Requisites: None</w:t>
            </w:r>
          </w:p>
        </w:tc>
      </w:tr>
      <w:tr w:rsidR="00C979EB" w:rsidRPr="001E1863" w14:paraId="2C1FD2D8" w14:textId="77777777">
        <w:tc>
          <w:tcPr>
            <w:tcW w:w="9576" w:type="dxa"/>
            <w:gridSpan w:val="5"/>
          </w:tcPr>
          <w:p w14:paraId="438DA5D6" w14:textId="77777777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Advisories/Recommended Preparation: None</w:t>
            </w:r>
          </w:p>
        </w:tc>
      </w:tr>
      <w:tr w:rsidR="00C979EB" w:rsidRPr="001E1863" w14:paraId="038D79C7" w14:textId="77777777">
        <w:tc>
          <w:tcPr>
            <w:tcW w:w="9576" w:type="dxa"/>
            <w:gridSpan w:val="5"/>
          </w:tcPr>
          <w:p w14:paraId="5BE8629D" w14:textId="6EA8766C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Course Content:  </w:t>
            </w:r>
          </w:p>
          <w:p w14:paraId="4FD3F1A3" w14:textId="77777777" w:rsidR="00EA31E3" w:rsidRPr="00DF1B37" w:rsidRDefault="00EA31E3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1BF913" w14:textId="14CEE641" w:rsidR="00C979EB" w:rsidRPr="00DF1B37" w:rsidRDefault="00C979EB" w:rsidP="00DF1B37">
            <w:p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</w:t>
            </w:r>
            <w:r w:rsidR="00EA31E3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Must include but not limited to the following: </w:t>
            </w:r>
          </w:p>
          <w:p w14:paraId="352F3827" w14:textId="6D9AF502" w:rsidR="00C979EB" w:rsidRPr="00DF1B37" w:rsidRDefault="00EA31E3" w:rsidP="00F4314A">
            <w:pPr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 overview of the process of pre-production, production and post-production in digital audio, </w:t>
            </w:r>
            <w:r w:rsidR="00DA502C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multi-track </w:t>
            </w:r>
            <w:r w:rsidR="00DA502C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recording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editing </w:t>
            </w:r>
          </w:p>
          <w:p w14:paraId="1B365CDA" w14:textId="260F9548" w:rsidR="00C979EB" w:rsidRPr="00DF1B37" w:rsidRDefault="00EA31E3" w:rsidP="00F4314A">
            <w:pPr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ignal processing</w:t>
            </w:r>
            <w:r w:rsidR="00235A2D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(hardware and software)</w:t>
            </w:r>
          </w:p>
          <w:p w14:paraId="0F94E2A7" w14:textId="022448BA" w:rsidR="00C979EB" w:rsidRPr="00DF1B37" w:rsidRDefault="00EA31E3" w:rsidP="00F4314A">
            <w:pPr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ecording techniques </w:t>
            </w:r>
          </w:p>
          <w:p w14:paraId="5DC7D0C5" w14:textId="2FFD391E" w:rsidR="00C979EB" w:rsidRPr="00DF1B37" w:rsidRDefault="00EA31E3" w:rsidP="00F4314A">
            <w:pPr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echniques in music, sound effects and ambient sound</w:t>
            </w:r>
          </w:p>
          <w:p w14:paraId="55A106EF" w14:textId="20850F77" w:rsidR="00C979EB" w:rsidRPr="00DF1B37" w:rsidRDefault="00EA31E3" w:rsidP="00F4314A">
            <w:pPr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oundtrack manipulation and exploration of the audio toolkit in appropriate editing software </w:t>
            </w:r>
          </w:p>
          <w:p w14:paraId="1D93D1D9" w14:textId="2BAEFA5C" w:rsidR="00C979EB" w:rsidRPr="00DF1B37" w:rsidRDefault="00EA31E3" w:rsidP="00F4314A">
            <w:pPr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rocesses for integrating audio in digital media projects and cross platform editing</w:t>
            </w:r>
          </w:p>
          <w:p w14:paraId="771A24F0" w14:textId="7809006B" w:rsidR="00F4314A" w:rsidRPr="00DF1B37" w:rsidRDefault="00F4314A" w:rsidP="00F4314A">
            <w:pPr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Promotes content creation in relation to social justice, race/ethnicity, gender, class, sexual orientation, and ability </w:t>
            </w:r>
          </w:p>
          <w:p w14:paraId="4AE62F33" w14:textId="77777777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AD884C" w14:textId="54CBD4D7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Laboratory Activities</w:t>
            </w:r>
            <w:proofErr w:type="gramStart"/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:  (</w:t>
            </w:r>
            <w:proofErr w:type="gramEnd"/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if applicable)</w:t>
            </w:r>
          </w:p>
          <w:p w14:paraId="2AB10C35" w14:textId="77777777" w:rsidR="00EA31E3" w:rsidRPr="00DF1B37" w:rsidRDefault="00EA31E3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B52C478" w14:textId="77777777" w:rsidR="00C979EB" w:rsidRPr="00DF1B37" w:rsidRDefault="00C979EB" w:rsidP="00DF1B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Participate in group and individual project work to produce digital </w:t>
            </w:r>
            <w:r w:rsidR="00235A2D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audio </w:t>
            </w: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projects while exploring audio production applications and media</w:t>
            </w:r>
            <w:r w:rsidR="00235A2D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</w:t>
            </w: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sound design for broadcast, web, live and other distribution methods.</w:t>
            </w:r>
          </w:p>
          <w:p w14:paraId="414808FC" w14:textId="77777777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979EB" w:rsidRPr="001E1863" w14:paraId="524EF805" w14:textId="77777777">
        <w:tc>
          <w:tcPr>
            <w:tcW w:w="9576" w:type="dxa"/>
            <w:gridSpan w:val="5"/>
          </w:tcPr>
          <w:p w14:paraId="65856CAE" w14:textId="72C762C0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Course Objectives:  </w:t>
            </w:r>
          </w:p>
          <w:p w14:paraId="444E394C" w14:textId="77777777" w:rsidR="00EA31E3" w:rsidRPr="00DF1B37" w:rsidRDefault="00EA31E3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AA7418D" w14:textId="48C67BA9" w:rsidR="00C979EB" w:rsidRPr="00DF1B37" w:rsidRDefault="008E5855" w:rsidP="00C979EB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Describe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basic physics of sound terminology; the sound wave, frequency/pitch, amplitude/loudness, phase, and timbre</w:t>
            </w:r>
            <w:r w:rsidR="00235A2D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; comprehend acoustics</w:t>
            </w:r>
          </w:p>
          <w:p w14:paraId="0D8A9F1C" w14:textId="7092BF6C" w:rsidR="00C979EB" w:rsidRPr="00DF1B37" w:rsidRDefault="00EA31E3" w:rsidP="00C979EB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9F3F18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escribe 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microphone classification, placement and use; theory and practical use of consoles, computers and software; </w:t>
            </w:r>
            <w:r w:rsidR="00235A2D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gain structure and signal flow; 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patching</w:t>
            </w:r>
            <w:r w:rsidR="00850D41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plugins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; editing; signal processors; loudspeakers </w:t>
            </w:r>
          </w:p>
          <w:p w14:paraId="0BB4A32A" w14:textId="08D5E84A" w:rsidR="00C979EB" w:rsidRPr="00DF1B37" w:rsidRDefault="00EA31E3" w:rsidP="00C979EB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escribe audio production software </w:t>
            </w:r>
            <w:r w:rsidR="00235A2D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hardware 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interface</w:t>
            </w:r>
            <w:r w:rsidR="00235A2D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BE426F9" w14:textId="0182CBC1" w:rsidR="00C979EB" w:rsidRPr="00DF1B37" w:rsidRDefault="00EA31E3" w:rsidP="00C979EB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emonstrate refined techniques for audio production using appropriate audio software</w:t>
            </w:r>
          </w:p>
          <w:p w14:paraId="6AB7F872" w14:textId="5A078B63" w:rsidR="00C979EB" w:rsidRPr="00DF1B37" w:rsidRDefault="00EA31E3" w:rsidP="00C979EB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235A2D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pply 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audio </w:t>
            </w:r>
            <w:r w:rsidR="00235A2D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processes 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used in studio and on-location production for radio, television and film  </w:t>
            </w:r>
          </w:p>
          <w:p w14:paraId="62FD157D" w14:textId="5709CFAB" w:rsidR="00C979EB" w:rsidRPr="00DF1B37" w:rsidRDefault="00EA31E3" w:rsidP="00C979EB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D37C9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pply 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audio processes for voice recording, multimedia production, sound design </w:t>
            </w:r>
          </w:p>
          <w:p w14:paraId="6479292D" w14:textId="35C376D3" w:rsidR="00C979EB" w:rsidRPr="00DF1B37" w:rsidRDefault="00EA31E3" w:rsidP="00C979EB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C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omplete applied projects to assess the student’s knowledge of recording, editing, mixing, and balancing </w:t>
            </w:r>
          </w:p>
          <w:p w14:paraId="48C6597C" w14:textId="6F6B10BD" w:rsidR="00C979EB" w:rsidRPr="00DF1B37" w:rsidRDefault="00EA31E3" w:rsidP="00C979EB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xplore the emotional and physical perception of music, voice and sound and the aesthetics of audio mixing</w:t>
            </w:r>
          </w:p>
          <w:p w14:paraId="7C63D7D0" w14:textId="123AB086" w:rsidR="00C979EB" w:rsidRPr="00DF1B37" w:rsidRDefault="009F3F18" w:rsidP="00C979EB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Demonstrate the skills needed for successful teamwork in a 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studio setting </w:t>
            </w:r>
          </w:p>
          <w:p w14:paraId="1D5B4ABD" w14:textId="77777777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979EB" w:rsidRPr="00406279" w14:paraId="52B4AFD9" w14:textId="77777777">
        <w:tc>
          <w:tcPr>
            <w:tcW w:w="9576" w:type="dxa"/>
            <w:gridSpan w:val="5"/>
          </w:tcPr>
          <w:p w14:paraId="211C8AC3" w14:textId="77777777" w:rsidR="00EA31E3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Methods of Evaluation: </w:t>
            </w:r>
          </w:p>
          <w:p w14:paraId="3A8DBCF8" w14:textId="79D2A54E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B1E8745" w14:textId="0D2294E2" w:rsidR="00575B52" w:rsidRPr="00DF1B37" w:rsidRDefault="00EA31E3" w:rsidP="00C979EB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575B52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ndividual and group projects </w:t>
            </w:r>
          </w:p>
          <w:p w14:paraId="6D38427F" w14:textId="02B65D99" w:rsidR="00850D41" w:rsidRPr="00DF1B37" w:rsidRDefault="00EA31E3" w:rsidP="00C979EB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00850D41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ompetency evaluations</w:t>
            </w:r>
          </w:p>
          <w:p w14:paraId="225BF993" w14:textId="2931729A" w:rsidR="00D37C9B" w:rsidRPr="00DF1B37" w:rsidRDefault="00EA31E3" w:rsidP="00C979EB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W</w:t>
            </w:r>
            <w:r w:rsidR="00D37C9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ritten assignments, including pre-production plan for lab projects</w:t>
            </w:r>
          </w:p>
          <w:p w14:paraId="4FD96AF5" w14:textId="28EC996E" w:rsidR="00C979EB" w:rsidRPr="00DF1B37" w:rsidRDefault="00EA31E3" w:rsidP="00575B52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cheduled quizzes </w:t>
            </w:r>
            <w:r w:rsidR="00575B52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and/or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75B52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exams </w:t>
            </w:r>
          </w:p>
          <w:p w14:paraId="62E91E3B" w14:textId="2483960F" w:rsidR="00C979EB" w:rsidRPr="00DF1B37" w:rsidRDefault="00042722" w:rsidP="00C979EB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Active p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articipation in classroom discussions </w:t>
            </w:r>
          </w:p>
          <w:p w14:paraId="2439A67C" w14:textId="77777777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979EB" w:rsidRPr="001E1863" w14:paraId="56B739F4" w14:textId="77777777">
        <w:tc>
          <w:tcPr>
            <w:tcW w:w="9576" w:type="dxa"/>
            <w:gridSpan w:val="5"/>
          </w:tcPr>
          <w:p w14:paraId="78CAF8A3" w14:textId="279312D0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Sample Textbooks, Manuals, or Other Support Materials</w:t>
            </w:r>
            <w:r w:rsidR="00200449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2F5302AD" w14:textId="01767361" w:rsidR="00EA31E3" w:rsidRPr="00DF1B37" w:rsidRDefault="00A71F56" w:rsidP="00DF1B37">
            <w:pPr>
              <w:spacing w:before="100" w:beforeAutospacing="1" w:after="100" w:afterAutospacing="1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Woodhall, Woody</w:t>
            </w:r>
            <w:r w:rsidR="00733C61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00C979EB" w:rsidRPr="00DF1B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Audio Production and Postproduction.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733C61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Jones &amp; Bartlett Learning</w:t>
            </w:r>
          </w:p>
          <w:p w14:paraId="3C80C0D4" w14:textId="5E7279FF" w:rsidR="00C979EB" w:rsidRPr="00DF1B37" w:rsidRDefault="00733C61" w:rsidP="00DF1B37">
            <w:pPr>
              <w:spacing w:before="100" w:beforeAutospacing="1" w:after="100" w:afterAutospacing="1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Collins, Karen. </w:t>
            </w:r>
            <w:r w:rsidR="00C979EB" w:rsidRPr="00DF1B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Game Sound: An Introduction to the History, Theory, and Practice of Video Game Music and Sound Design.</w:t>
            </w:r>
            <w:r w:rsidR="00C979EB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MIT Press</w:t>
            </w:r>
          </w:p>
          <w:p w14:paraId="327256B0" w14:textId="6E640499" w:rsidR="00C979EB" w:rsidRPr="00DF1B37" w:rsidRDefault="00C979EB" w:rsidP="00DF1B37">
            <w:pPr>
              <w:spacing w:before="100" w:beforeAutospacing="1" w:after="100" w:afterAutospacing="1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Alten</w:t>
            </w:r>
            <w:proofErr w:type="spellEnd"/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, Stanley</w:t>
            </w:r>
            <w:r w:rsidR="00733C61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DF1B3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Audio in Media</w:t>
            </w:r>
            <w:r w:rsidR="00733C61" w:rsidRPr="00DF1B3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733C61" w:rsidRPr="00DF1B37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Cengage Learning</w:t>
            </w:r>
          </w:p>
          <w:p w14:paraId="67747753" w14:textId="48747549" w:rsidR="00575B52" w:rsidRPr="00DF1B37" w:rsidRDefault="00575B52" w:rsidP="00DF1B37">
            <w:pPr>
              <w:spacing w:before="100" w:beforeAutospacing="1" w:after="100" w:afterAutospacing="1"/>
              <w:ind w:left="36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Parsons</w:t>
            </w:r>
            <w:r w:rsidR="00200449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, Alan</w:t>
            </w: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&amp; Colbeck,</w:t>
            </w:r>
            <w:r w:rsidR="00200449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Julian.</w:t>
            </w: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DF1B3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The Art and Science of Sound Recording</w:t>
            </w:r>
            <w:r w:rsidR="00733C61" w:rsidRPr="00DF1B3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733C61" w:rsidRPr="00DF1B37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Hal Leonard Books</w:t>
            </w:r>
            <w:r w:rsidRPr="00DF1B37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7A129FBD" w14:textId="36C44FC8" w:rsidR="00C979EB" w:rsidRPr="00DF1B37" w:rsidRDefault="00C979EB" w:rsidP="00DF1B37">
            <w:pPr>
              <w:spacing w:before="100" w:beforeAutospacing="1" w:after="100" w:afterAutospacing="1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Rose, </w:t>
            </w:r>
            <w:r w:rsidR="00200449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Jay. </w:t>
            </w:r>
            <w:r w:rsidRPr="00DF1B3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Producing Great Sound for Film and Video.</w:t>
            </w: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00449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Focal Press</w:t>
            </w:r>
          </w:p>
          <w:p w14:paraId="5349C9C7" w14:textId="24357277" w:rsidR="00200449" w:rsidRPr="00DF1B37" w:rsidRDefault="00C979EB" w:rsidP="00DF1B37">
            <w:pPr>
              <w:spacing w:before="100" w:beforeAutospacing="1" w:after="100" w:afterAutospacing="1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Viers,</w:t>
            </w:r>
            <w:r w:rsidR="00200449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Ric.</w:t>
            </w: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DF1B3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The Sound Effects Bible.</w:t>
            </w: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00449"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>Michael Wiese Productions</w:t>
            </w:r>
          </w:p>
          <w:p w14:paraId="5847D4B0" w14:textId="77777777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979EB" w:rsidRPr="001E1863" w14:paraId="36C1E0B2" w14:textId="77777777">
        <w:tc>
          <w:tcPr>
            <w:tcW w:w="9576" w:type="dxa"/>
            <w:gridSpan w:val="5"/>
          </w:tcPr>
          <w:p w14:paraId="4E37338F" w14:textId="007879FD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FDRG Lead Signature:                                                                   Date:  </w:t>
            </w:r>
          </w:p>
        </w:tc>
      </w:tr>
      <w:tr w:rsidR="00C979EB" w:rsidRPr="001E1863" w14:paraId="4E40F602" w14:textId="77777777">
        <w:tc>
          <w:tcPr>
            <w:tcW w:w="4788" w:type="dxa"/>
            <w:gridSpan w:val="2"/>
            <w:shd w:val="clear" w:color="auto" w:fill="E0E0E0"/>
          </w:tcPr>
          <w:p w14:paraId="46D5EE25" w14:textId="77777777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[For Office Use </w:t>
            </w:r>
            <w:proofErr w:type="gramStart"/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Only]   </w:t>
            </w:r>
            <w:proofErr w:type="gramEnd"/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4788" w:type="dxa"/>
            <w:gridSpan w:val="3"/>
            <w:shd w:val="clear" w:color="auto" w:fill="E0E0E0"/>
          </w:tcPr>
          <w:p w14:paraId="181DE759" w14:textId="77777777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1B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Internal Tracking Number</w:t>
            </w:r>
          </w:p>
        </w:tc>
      </w:tr>
      <w:tr w:rsidR="00C979EB" w:rsidRPr="001E1863" w14:paraId="516934A7" w14:textId="77777777">
        <w:tc>
          <w:tcPr>
            <w:tcW w:w="9576" w:type="dxa"/>
            <w:gridSpan w:val="5"/>
            <w:shd w:val="clear" w:color="auto" w:fill="E0E0E0"/>
          </w:tcPr>
          <w:p w14:paraId="2D2A78CE" w14:textId="77777777" w:rsidR="00C979EB" w:rsidRPr="00DF1B37" w:rsidRDefault="00C979EB" w:rsidP="00C979E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979EB" w:rsidRPr="001E1863" w14:paraId="7948EA98" w14:textId="77777777">
        <w:tc>
          <w:tcPr>
            <w:tcW w:w="9576" w:type="dxa"/>
            <w:gridSpan w:val="5"/>
            <w:shd w:val="clear" w:color="auto" w:fill="E0E0E0"/>
          </w:tcPr>
          <w:p w14:paraId="4C15BEE3" w14:textId="77777777" w:rsidR="00C979EB" w:rsidRPr="001E1863" w:rsidRDefault="00C979EB" w:rsidP="00C979EB">
            <w:pPr>
              <w:rPr>
                <w:szCs w:val="20"/>
              </w:rPr>
            </w:pPr>
          </w:p>
        </w:tc>
      </w:tr>
    </w:tbl>
    <w:p w14:paraId="7D5CCB24" w14:textId="77777777" w:rsidR="00C979EB" w:rsidRPr="001E1863" w:rsidRDefault="00C979EB">
      <w:pPr>
        <w:rPr>
          <w:szCs w:val="20"/>
        </w:rPr>
      </w:pPr>
    </w:p>
    <w:p w14:paraId="6BEA2314" w14:textId="6F8E83A3" w:rsidR="00C979EB" w:rsidRPr="001E1863" w:rsidRDefault="00B77573" w:rsidP="00DF1B37">
      <w:pPr>
        <w:pStyle w:val="Quote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</w:instrText>
      </w:r>
      <w:bookmarkStart w:id="0" w:name="Text1"/>
      <w:r>
        <w:instrText xml:space="preserve">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sectPr w:rsidR="00C979EB" w:rsidRPr="001E1863" w:rsidSect="00C979EB">
      <w:headerReference w:type="default" r:id="rId8"/>
      <w:pgSz w:w="12240" w:h="15840"/>
      <w:pgMar w:top="900" w:right="1440" w:bottom="108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146DB" w14:textId="77777777" w:rsidR="00F059EC" w:rsidRDefault="00F059EC">
      <w:r>
        <w:separator/>
      </w:r>
    </w:p>
  </w:endnote>
  <w:endnote w:type="continuationSeparator" w:id="0">
    <w:p w14:paraId="4AD19B62" w14:textId="77777777" w:rsidR="00F059EC" w:rsidRDefault="00F0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D903A" w14:textId="77777777" w:rsidR="00F059EC" w:rsidRDefault="00F059EC">
      <w:r>
        <w:separator/>
      </w:r>
    </w:p>
  </w:footnote>
  <w:footnote w:type="continuationSeparator" w:id="0">
    <w:p w14:paraId="657DAF09" w14:textId="77777777" w:rsidR="00F059EC" w:rsidRDefault="00F05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DD3A" w14:textId="77777777" w:rsidR="00C979EB" w:rsidRDefault="009F0D4D" w:rsidP="00C979EB">
    <w:pPr>
      <w:pStyle w:val="Header"/>
      <w:ind w:left="-800"/>
    </w:pPr>
    <w:r>
      <w:rPr>
        <w:noProof/>
        <w:lang w:val="en-US" w:eastAsia="en-US"/>
      </w:rPr>
      <w:drawing>
        <wp:inline distT="0" distB="0" distL="0" distR="0" wp14:anchorId="63CA4421" wp14:editId="61A49F5F">
          <wp:extent cx="1822450" cy="659765"/>
          <wp:effectExtent l="0" t="0" r="6350" b="6985"/>
          <wp:docPr id="1" name="Picture 1" descr="c-id logo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id logograys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E6AC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14DF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8EDB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0E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F248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86D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804F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A4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1E4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0CC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8671F"/>
    <w:multiLevelType w:val="multilevel"/>
    <w:tmpl w:val="DB0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8E0B95"/>
    <w:multiLevelType w:val="hybridMultilevel"/>
    <w:tmpl w:val="24F4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132CF"/>
    <w:multiLevelType w:val="hybridMultilevel"/>
    <w:tmpl w:val="EE723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A0AB7"/>
    <w:multiLevelType w:val="multilevel"/>
    <w:tmpl w:val="1C66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574AD"/>
    <w:multiLevelType w:val="hybridMultilevel"/>
    <w:tmpl w:val="D9AC25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F00BB"/>
    <w:multiLevelType w:val="multilevel"/>
    <w:tmpl w:val="4936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E04ED"/>
    <w:multiLevelType w:val="hybridMultilevel"/>
    <w:tmpl w:val="3CD2C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C7474"/>
    <w:multiLevelType w:val="hybridMultilevel"/>
    <w:tmpl w:val="338A7F02"/>
    <w:lvl w:ilvl="0" w:tplc="50B80898">
      <w:numFmt w:val="bullet"/>
      <w:lvlText w:val=""/>
      <w:lvlJc w:val="left"/>
      <w:pPr>
        <w:ind w:left="72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42BE3"/>
    <w:multiLevelType w:val="hybridMultilevel"/>
    <w:tmpl w:val="C3E0F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5291A"/>
    <w:multiLevelType w:val="hybridMultilevel"/>
    <w:tmpl w:val="1C66F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B7B77"/>
    <w:multiLevelType w:val="hybridMultilevel"/>
    <w:tmpl w:val="ACDAD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A2ECA"/>
    <w:multiLevelType w:val="hybridMultilevel"/>
    <w:tmpl w:val="88EA1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A7B40"/>
    <w:multiLevelType w:val="hybridMultilevel"/>
    <w:tmpl w:val="51664A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00A3D"/>
    <w:multiLevelType w:val="hybridMultilevel"/>
    <w:tmpl w:val="0C102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63C44"/>
    <w:multiLevelType w:val="hybridMultilevel"/>
    <w:tmpl w:val="B8705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9094264">
    <w:abstractNumId w:val="23"/>
  </w:num>
  <w:num w:numId="2" w16cid:durableId="518618729">
    <w:abstractNumId w:val="14"/>
  </w:num>
  <w:num w:numId="3" w16cid:durableId="2058161808">
    <w:abstractNumId w:val="15"/>
  </w:num>
  <w:num w:numId="4" w16cid:durableId="2047025055">
    <w:abstractNumId w:val="12"/>
  </w:num>
  <w:num w:numId="5" w16cid:durableId="1735661311">
    <w:abstractNumId w:val="10"/>
  </w:num>
  <w:num w:numId="6" w16cid:durableId="1930384736">
    <w:abstractNumId w:val="24"/>
  </w:num>
  <w:num w:numId="7" w16cid:durableId="1811826718">
    <w:abstractNumId w:val="21"/>
  </w:num>
  <w:num w:numId="8" w16cid:durableId="925842490">
    <w:abstractNumId w:val="19"/>
  </w:num>
  <w:num w:numId="9" w16cid:durableId="166947152">
    <w:abstractNumId w:val="13"/>
  </w:num>
  <w:num w:numId="10" w16cid:durableId="1334183922">
    <w:abstractNumId w:val="16"/>
  </w:num>
  <w:num w:numId="11" w16cid:durableId="133447736">
    <w:abstractNumId w:val="18"/>
  </w:num>
  <w:num w:numId="12" w16cid:durableId="124977552">
    <w:abstractNumId w:val="22"/>
  </w:num>
  <w:num w:numId="13" w16cid:durableId="646518945">
    <w:abstractNumId w:val="20"/>
  </w:num>
  <w:num w:numId="14" w16cid:durableId="1544101751">
    <w:abstractNumId w:val="0"/>
  </w:num>
  <w:num w:numId="15" w16cid:durableId="833453468">
    <w:abstractNumId w:val="1"/>
  </w:num>
  <w:num w:numId="16" w16cid:durableId="1308626285">
    <w:abstractNumId w:val="2"/>
  </w:num>
  <w:num w:numId="17" w16cid:durableId="967053111">
    <w:abstractNumId w:val="3"/>
  </w:num>
  <w:num w:numId="18" w16cid:durableId="1398355035">
    <w:abstractNumId w:val="8"/>
  </w:num>
  <w:num w:numId="19" w16cid:durableId="1438793597">
    <w:abstractNumId w:val="4"/>
  </w:num>
  <w:num w:numId="20" w16cid:durableId="1138301380">
    <w:abstractNumId w:val="5"/>
  </w:num>
  <w:num w:numId="21" w16cid:durableId="81607375">
    <w:abstractNumId w:val="6"/>
  </w:num>
  <w:num w:numId="22" w16cid:durableId="1653170369">
    <w:abstractNumId w:val="7"/>
  </w:num>
  <w:num w:numId="23" w16cid:durableId="358354657">
    <w:abstractNumId w:val="9"/>
  </w:num>
  <w:num w:numId="24" w16cid:durableId="1039478572">
    <w:abstractNumId w:val="11"/>
  </w:num>
  <w:num w:numId="25" w16cid:durableId="21196425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62"/>
    <w:rsid w:val="000374C6"/>
    <w:rsid w:val="00042722"/>
    <w:rsid w:val="000B7E85"/>
    <w:rsid w:val="000D782F"/>
    <w:rsid w:val="001305E0"/>
    <w:rsid w:val="00200449"/>
    <w:rsid w:val="0022600C"/>
    <w:rsid w:val="00235A2D"/>
    <w:rsid w:val="0028455B"/>
    <w:rsid w:val="00406279"/>
    <w:rsid w:val="00575B52"/>
    <w:rsid w:val="00641F62"/>
    <w:rsid w:val="0064340D"/>
    <w:rsid w:val="00717D91"/>
    <w:rsid w:val="00733C61"/>
    <w:rsid w:val="007411BF"/>
    <w:rsid w:val="007F611D"/>
    <w:rsid w:val="00850D41"/>
    <w:rsid w:val="008E5855"/>
    <w:rsid w:val="00914EDC"/>
    <w:rsid w:val="009F0D4D"/>
    <w:rsid w:val="009F3F18"/>
    <w:rsid w:val="009F46A3"/>
    <w:rsid w:val="00A0221F"/>
    <w:rsid w:val="00A11B01"/>
    <w:rsid w:val="00A226BE"/>
    <w:rsid w:val="00A514A5"/>
    <w:rsid w:val="00A71F56"/>
    <w:rsid w:val="00A93246"/>
    <w:rsid w:val="00B77573"/>
    <w:rsid w:val="00C04919"/>
    <w:rsid w:val="00C4647F"/>
    <w:rsid w:val="00C979EB"/>
    <w:rsid w:val="00D37C9B"/>
    <w:rsid w:val="00DA502C"/>
    <w:rsid w:val="00DF1B37"/>
    <w:rsid w:val="00E07856"/>
    <w:rsid w:val="00E6572A"/>
    <w:rsid w:val="00EA31E3"/>
    <w:rsid w:val="00F059EC"/>
    <w:rsid w:val="00F4314A"/>
    <w:rsid w:val="00FA4013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54924C"/>
  <w15:docId w15:val="{78D39EF4-A982-2045-A743-B5E417B5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E1C"/>
    <w:rPr>
      <w:rFonts w:ascii="Verdana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4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E71414"/>
    <w:rPr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C04A2E"/>
    <w:rPr>
      <w:rFonts w:ascii="Verdana" w:hAnsi="Verdana" w:cs="Times New Roman"/>
      <w:sz w:val="20"/>
      <w:szCs w:val="20"/>
    </w:rPr>
  </w:style>
  <w:style w:type="character" w:styleId="FootnoteReference">
    <w:name w:val="footnote reference"/>
    <w:uiPriority w:val="99"/>
    <w:semiHidden/>
    <w:rsid w:val="00E71414"/>
    <w:rPr>
      <w:rFonts w:cs="Times New Roman"/>
      <w:vertAlign w:val="superscript"/>
    </w:rPr>
  </w:style>
  <w:style w:type="character" w:styleId="Hyperlink">
    <w:name w:val="Hyperlink"/>
    <w:uiPriority w:val="99"/>
    <w:rsid w:val="00E55C5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C4560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C04A2E"/>
    <w:rPr>
      <w:rFonts w:ascii="Verdana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C4560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C04A2E"/>
    <w:rPr>
      <w:rFonts w:ascii="Verdana" w:hAnsi="Verdana" w:cs="Times New Roman"/>
      <w:sz w:val="24"/>
      <w:szCs w:val="24"/>
    </w:rPr>
  </w:style>
  <w:style w:type="paragraph" w:customStyle="1" w:styleId="Default">
    <w:name w:val="Default"/>
    <w:uiPriority w:val="99"/>
    <w:rsid w:val="001E1863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7573"/>
    <w:rPr>
      <w:rFonts w:ascii="Times New Roman" w:hAnsi="Times New Roman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B77573"/>
    <w:rPr>
      <w:sz w:val="16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B775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573"/>
    <w:rPr>
      <w:rFonts w:ascii="Verdana" w:hAnsi="Verdana"/>
      <w:i/>
      <w:iCs/>
      <w:color w:val="404040" w:themeColor="text1" w:themeTint="BF"/>
      <w:szCs w:val="24"/>
    </w:rPr>
  </w:style>
  <w:style w:type="paragraph" w:styleId="Revision">
    <w:name w:val="Revision"/>
    <w:hidden/>
    <w:uiPriority w:val="99"/>
    <w:semiHidden/>
    <w:rsid w:val="0022600C"/>
    <w:rPr>
      <w:rFonts w:ascii="Verdana" w:hAnsi="Verdana"/>
      <w:szCs w:val="24"/>
    </w:rPr>
  </w:style>
  <w:style w:type="paragraph" w:styleId="ListParagraph">
    <w:name w:val="List Paragraph"/>
    <w:basedOn w:val="Normal"/>
    <w:uiPriority w:val="34"/>
    <w:qFormat/>
    <w:rsid w:val="000B7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8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ACD6-ED77-4120-8998-B0F4E9D1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C-ID LOG0</vt:lpstr>
    </vt:vector>
  </TitlesOfParts>
  <Company>ucu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C-ID LOG0</dc:title>
  <dc:creator>michael clark</dc:creator>
  <cp:lastModifiedBy>Miguel Rother</cp:lastModifiedBy>
  <cp:revision>2</cp:revision>
  <cp:lastPrinted>2008-01-18T00:54:00Z</cp:lastPrinted>
  <dcterms:created xsi:type="dcterms:W3CDTF">2024-09-17T16:17:00Z</dcterms:created>
  <dcterms:modified xsi:type="dcterms:W3CDTF">2024-09-17T16:17:00Z</dcterms:modified>
</cp:coreProperties>
</file>